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color w:val="000000"/>
          <w:sz w:val="96"/>
          <w:szCs w:val="96"/>
        </w:rPr>
      </w:pPr>
      <w:r>
        <w:rPr>
          <w:sz w:val="84"/>
          <w:szCs w:val="84"/>
        </w:rPr>
        <w:t>201</w:t>
      </w:r>
      <w:r>
        <w:rPr>
          <w:rFonts w:hint="eastAsia"/>
          <w:sz w:val="84"/>
          <w:szCs w:val="84"/>
          <w:lang w:val="en-US" w:eastAsia="zh-CN"/>
        </w:rPr>
        <w:t>9</w:t>
      </w:r>
      <w:r>
        <w:rPr>
          <w:rFonts w:hint="eastAsia"/>
          <w:sz w:val="84"/>
          <w:szCs w:val="84"/>
        </w:rPr>
        <w:t>年度部门决算公开</w:t>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hint="eastAsia" w:ascii="楷体" w:hAnsi="楷体" w:eastAsia="楷体" w:cs="楷体"/>
          <w:b/>
          <w:sz w:val="44"/>
          <w:szCs w:val="44"/>
          <w:lang w:val="en-US" w:eastAsia="zh-CN"/>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文安县</w:t>
      </w:r>
      <w:r>
        <w:rPr>
          <w:rFonts w:hint="eastAsia" w:ascii="楷体" w:hAnsi="楷体" w:eastAsia="楷体" w:cs="楷体"/>
          <w:b/>
          <w:sz w:val="44"/>
          <w:szCs w:val="44"/>
          <w:lang w:val="en-US" w:eastAsia="zh-CN"/>
        </w:rPr>
        <w:t>住房和城乡建设局</w:t>
      </w:r>
    </w:p>
    <w:p>
      <w:pPr>
        <w:widowControl/>
        <w:jc w:val="center"/>
        <w:rPr>
          <w:color w:val="000000"/>
          <w:sz w:val="96"/>
          <w:szCs w:val="96"/>
        </w:rPr>
      </w:pPr>
      <w:r>
        <w:rPr>
          <w:rFonts w:hint="eastAsia" w:ascii="黑体" w:hAnsi="宋体" w:eastAsia="黑体"/>
          <w:color w:val="000000"/>
          <w:sz w:val="96"/>
          <w:szCs w:val="96"/>
        </w:rPr>
        <w:t>第一部分</w:t>
      </w:r>
      <w:r>
        <w:rPr>
          <w:rFonts w:ascii="黑体" w:hAnsi="宋体" w:eastAsia="黑体"/>
          <w:color w:val="000000"/>
          <w:sz w:val="96"/>
          <w:szCs w:val="96"/>
        </w:rPr>
        <w:t xml:space="preserve">  </w:t>
      </w:r>
      <w:r>
        <w:rPr>
          <w:rFonts w:hint="eastAsia" w:ascii="黑体" w:hAnsi="宋体" w:eastAsia="黑体"/>
          <w:color w:val="000000"/>
          <w:sz w:val="96"/>
          <w:szCs w:val="96"/>
        </w:rPr>
        <w:t>部门概况</w:t>
      </w:r>
    </w:p>
    <w:p>
      <w:pPr>
        <w:pStyle w:val="2"/>
        <w:numPr>
          <w:ilvl w:val="0"/>
          <w:numId w:val="1"/>
        </w:numPr>
        <w:spacing w:before="0" w:after="0" w:line="600" w:lineRule="exact"/>
        <w:jc w:val="left"/>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部门职责</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 xml:space="preserve">（一）根据国家、省的方针和产业政策，研究拟定全县工程建设、城市建设、村镇建设、建筑业、市政公用事业、勘察业、建设机械制造业以及环卫行业的有关政策及发展规划，并组织指导实施和进行行业管理。     </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二）参与城市总体规划、城镇体系规划的制订和县管项目的选址定点工作；参与城镇土地使用权有偿出让工作；负责城市勘察和市政工程测量工作；负责城建档案的管理工作；负责建筑施工；图纸设计文件的监督、管理、审查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（三） 负责工程建设管理工作，监督工程建设程序的执行；管理监督工程建设、勘察、设计、审查、施工的招投标工作，综合管理工程监理工作，指导规范和综合管理全县 建筑市场；负责建设单位建设管理机构的业务、技术管理和工程勘察设计、工程质量、施工安全、建筑安装、建筑装饰的行业管理；与有关部门协商拟定建设工期定 额、工程造价、投资结算指标；组织协调建设企业参与域外或国际工程承包、建筑劳务合作。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（四）负责编制县城供热、燃气、市政设施、环境卫生中长期发展规划并进行行业管理；负责对城区公共景点的建设和保护监督管理工作；负责市区夜景亮化的规划、设计和管理工作。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（五）指导全县城镇和村庄的建设工作，推动城镇建设的改革与发展。</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（六）负责全县施工安装、建筑装饰、勘察设计、城市综合开发、建筑机械和城建设备生产企业的审批或报批工作；负责全县建筑机械、设计、市政公用和城建设备生产行业的资质管理工作。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（七）综合管理各类房屋建筑及其附属设施和城市市政设施建设工程的抗震设计审查工作；参与指导城市地下空间开发和利用工作。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（八）拟定行业科技发展规划，计划和技术经济政策，组织科技论证、开发和成果的推广应用；负责管理全县建筑节能、技术引进和创新工作；管理全县建设技术市场。</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（九）负责城区基础设施建设资金筹集、使用和管理工作；管理建设行业对外技术合作和引进，利用外资工作。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（十）代表县政府，协调处理与油田、铁路的关系，负责支援油田、支援铁路建设工作。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（十一）负责城区的拆迁安置工作。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（十二）制定行业人才培训规划，指导行业职工队伍岗位培训和继续教育工作。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（十三）管理局机关和企事业单位的人事劳资和机构编制工作；负责组织行业专业技术职称评定工作；指导建设系统安全保卫、工会、共青团及行业工资、劳动保险、劳动标准工作。</w:t>
      </w:r>
    </w:p>
    <w:p>
      <w:pPr>
        <w:pStyle w:val="11"/>
        <w:widowControl/>
        <w:shd w:val="clear" w:color="auto" w:fill="FFFFFF"/>
        <w:spacing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（十四）指导各乡镇建设工作。</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（十五）承办县政府交办的其它工作</w:t>
      </w:r>
    </w:p>
    <w:p>
      <w:pPr>
        <w:pStyle w:val="2"/>
        <w:numPr>
          <w:ilvl w:val="0"/>
          <w:numId w:val="1"/>
        </w:numPr>
        <w:spacing w:before="0" w:after="0" w:line="600" w:lineRule="exact"/>
        <w:jc w:val="left"/>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机构设置</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从决算编报单位构成看，纳入2019 年度本部门决算汇编范围的独立核算单位（以下简称“单位”）共2个，具体情况如下：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37"/>
        <w:gridCol w:w="2359"/>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81" w:type="dxa"/>
            <w:vAlign w:val="center"/>
          </w:tcPr>
          <w:p>
            <w:pPr>
              <w:spacing w:after="0" w:line="560" w:lineRule="exact"/>
              <w:jc w:val="center"/>
              <w:rPr>
                <w:rFonts w:ascii="华文仿宋" w:hAnsi="华文仿宋" w:eastAsia="华文仿宋" w:cs="ArialUnicodeMS"/>
                <w:b/>
                <w:bCs/>
                <w:kern w:val="0"/>
                <w:sz w:val="28"/>
                <w:szCs w:val="28"/>
              </w:rPr>
            </w:pPr>
            <w:r>
              <w:rPr>
                <w:rFonts w:hint="eastAsia" w:ascii="华文仿宋" w:hAnsi="华文仿宋" w:eastAsia="华文仿宋" w:cs="ArialUnicodeMS"/>
                <w:b/>
                <w:bCs/>
                <w:kern w:val="0"/>
                <w:sz w:val="28"/>
                <w:szCs w:val="28"/>
              </w:rPr>
              <w:t>序号</w:t>
            </w:r>
          </w:p>
        </w:tc>
        <w:tc>
          <w:tcPr>
            <w:tcW w:w="4037" w:type="dxa"/>
            <w:vAlign w:val="center"/>
          </w:tcPr>
          <w:p>
            <w:pPr>
              <w:spacing w:after="0" w:line="560" w:lineRule="exact"/>
              <w:jc w:val="center"/>
              <w:rPr>
                <w:rFonts w:ascii="华文仿宋" w:hAnsi="华文仿宋" w:eastAsia="华文仿宋" w:cs="ArialUnicodeMS"/>
                <w:b/>
                <w:bCs/>
                <w:kern w:val="0"/>
                <w:sz w:val="28"/>
                <w:szCs w:val="28"/>
              </w:rPr>
            </w:pPr>
            <w:r>
              <w:rPr>
                <w:rFonts w:hint="eastAsia" w:ascii="华文仿宋" w:hAnsi="华文仿宋" w:eastAsia="华文仿宋" w:cs="ArialUnicodeMS"/>
                <w:b/>
                <w:bCs/>
                <w:kern w:val="0"/>
                <w:sz w:val="28"/>
                <w:szCs w:val="28"/>
              </w:rPr>
              <w:t>单位名称</w:t>
            </w:r>
          </w:p>
        </w:tc>
        <w:tc>
          <w:tcPr>
            <w:tcW w:w="2359" w:type="dxa"/>
            <w:vAlign w:val="center"/>
          </w:tcPr>
          <w:p>
            <w:pPr>
              <w:spacing w:after="0" w:line="560" w:lineRule="exact"/>
              <w:jc w:val="center"/>
              <w:rPr>
                <w:rFonts w:ascii="华文仿宋" w:hAnsi="华文仿宋" w:eastAsia="华文仿宋" w:cs="ArialUnicodeMS"/>
                <w:b/>
                <w:bCs/>
                <w:kern w:val="0"/>
                <w:sz w:val="28"/>
                <w:szCs w:val="28"/>
              </w:rPr>
            </w:pPr>
            <w:r>
              <w:rPr>
                <w:rFonts w:hint="eastAsia" w:ascii="华文仿宋" w:hAnsi="华文仿宋" w:eastAsia="华文仿宋" w:cs="ArialUnicodeMS"/>
                <w:b/>
                <w:bCs/>
                <w:kern w:val="0"/>
                <w:sz w:val="28"/>
                <w:szCs w:val="28"/>
              </w:rPr>
              <w:t>单位基本性质</w:t>
            </w:r>
          </w:p>
        </w:tc>
        <w:tc>
          <w:tcPr>
            <w:tcW w:w="2403" w:type="dxa"/>
            <w:vAlign w:val="center"/>
          </w:tcPr>
          <w:p>
            <w:pPr>
              <w:spacing w:after="0" w:line="560" w:lineRule="exact"/>
              <w:jc w:val="center"/>
              <w:rPr>
                <w:rFonts w:ascii="华文仿宋" w:hAnsi="华文仿宋" w:eastAsia="华文仿宋" w:cs="ArialUnicodeMS"/>
                <w:b/>
                <w:bCs/>
                <w:kern w:val="0"/>
                <w:sz w:val="28"/>
                <w:szCs w:val="28"/>
              </w:rPr>
            </w:pPr>
            <w:r>
              <w:rPr>
                <w:rFonts w:hint="eastAsia" w:ascii="华文仿宋" w:hAnsi="华文仿宋" w:eastAsia="华文仿宋"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1" w:type="dxa"/>
          </w:tcPr>
          <w:p>
            <w:pPr>
              <w:spacing w:after="0" w:line="560" w:lineRule="exact"/>
              <w:jc w:val="center"/>
              <w:rPr>
                <w:rFonts w:ascii="华文仿宋" w:hAnsi="华文仿宋" w:eastAsia="华文仿宋" w:cs="ArialUnicodeMS"/>
                <w:kern w:val="0"/>
                <w:sz w:val="28"/>
                <w:szCs w:val="28"/>
              </w:rPr>
            </w:pPr>
            <w:r>
              <w:rPr>
                <w:rFonts w:ascii="华文仿宋" w:hAnsi="华文仿宋" w:eastAsia="华文仿宋" w:cs="ArialUnicodeMS"/>
                <w:kern w:val="0"/>
                <w:sz w:val="28"/>
                <w:szCs w:val="28"/>
              </w:rPr>
              <w:t>1</w:t>
            </w:r>
          </w:p>
        </w:tc>
        <w:tc>
          <w:tcPr>
            <w:tcW w:w="4037" w:type="dxa"/>
          </w:tcPr>
          <w:p>
            <w:pPr>
              <w:spacing w:after="0" w:line="560" w:lineRule="exact"/>
              <w:rPr>
                <w:rFonts w:ascii="华文仿宋" w:hAnsi="华文仿宋" w:eastAsia="华文仿宋" w:cs="ArialUnicodeMS"/>
                <w:kern w:val="0"/>
                <w:sz w:val="28"/>
                <w:szCs w:val="28"/>
              </w:rPr>
            </w:pPr>
            <w:r>
              <w:rPr>
                <w:rFonts w:hint="eastAsia" w:ascii="华文仿宋" w:hAnsi="华文仿宋" w:eastAsia="华文仿宋" w:cs="宋体"/>
                <w:kern w:val="0"/>
                <w:sz w:val="28"/>
                <w:szCs w:val="28"/>
              </w:rPr>
              <w:t>文安县</w:t>
            </w:r>
            <w:r>
              <w:rPr>
                <w:rFonts w:hint="eastAsia" w:ascii="华文仿宋" w:hAnsi="华文仿宋" w:eastAsia="华文仿宋" w:cs="宋体"/>
                <w:kern w:val="0"/>
                <w:sz w:val="28"/>
                <w:szCs w:val="28"/>
                <w:lang w:val="en-US" w:eastAsia="zh-CN"/>
              </w:rPr>
              <w:t>住房和城乡建设局</w:t>
            </w:r>
            <w:r>
              <w:rPr>
                <w:rFonts w:ascii="华文仿宋" w:hAnsi="华文仿宋" w:eastAsia="华文仿宋" w:cs="ArialUnicodeMS"/>
                <w:kern w:val="0"/>
                <w:sz w:val="28"/>
                <w:szCs w:val="28"/>
              </w:rPr>
              <w:t>(</w:t>
            </w:r>
            <w:r>
              <w:rPr>
                <w:rFonts w:hint="eastAsia" w:ascii="华文仿宋" w:hAnsi="华文仿宋" w:eastAsia="华文仿宋" w:cs="ArialUnicodeMS"/>
                <w:kern w:val="0"/>
                <w:sz w:val="28"/>
                <w:szCs w:val="28"/>
              </w:rPr>
              <w:t>本级</w:t>
            </w:r>
            <w:r>
              <w:rPr>
                <w:rFonts w:ascii="华文仿宋" w:hAnsi="华文仿宋" w:eastAsia="华文仿宋" w:cs="ArialUnicodeMS"/>
                <w:kern w:val="0"/>
                <w:sz w:val="28"/>
                <w:szCs w:val="28"/>
              </w:rPr>
              <w:t>)</w:t>
            </w:r>
          </w:p>
        </w:tc>
        <w:tc>
          <w:tcPr>
            <w:tcW w:w="2359" w:type="dxa"/>
          </w:tcPr>
          <w:p>
            <w:pPr>
              <w:spacing w:after="0" w:line="560" w:lineRule="exact"/>
              <w:jc w:val="center"/>
              <w:rPr>
                <w:rFonts w:ascii="华文仿宋" w:hAnsi="华文仿宋" w:eastAsia="华文仿宋" w:cs="ArialUnicodeMS"/>
                <w:kern w:val="0"/>
                <w:sz w:val="28"/>
                <w:szCs w:val="28"/>
              </w:rPr>
            </w:pPr>
            <w:r>
              <w:rPr>
                <w:rFonts w:hint="eastAsia" w:ascii="华文仿宋" w:hAnsi="华文仿宋" w:eastAsia="华文仿宋" w:cs="ArialUnicodeMS"/>
                <w:kern w:val="0"/>
                <w:sz w:val="28"/>
                <w:szCs w:val="28"/>
              </w:rPr>
              <w:t>行政单位</w:t>
            </w:r>
          </w:p>
        </w:tc>
        <w:tc>
          <w:tcPr>
            <w:tcW w:w="2403" w:type="dxa"/>
          </w:tcPr>
          <w:p>
            <w:pPr>
              <w:spacing w:after="0" w:line="560" w:lineRule="exact"/>
              <w:jc w:val="center"/>
              <w:rPr>
                <w:rFonts w:ascii="华文仿宋" w:hAnsi="华文仿宋" w:eastAsia="华文仿宋" w:cs="ArialUnicodeMS"/>
                <w:kern w:val="0"/>
                <w:sz w:val="28"/>
                <w:szCs w:val="28"/>
              </w:rPr>
            </w:pPr>
            <w:r>
              <w:rPr>
                <w:rFonts w:hint="eastAsia" w:ascii="华文仿宋" w:hAnsi="华文仿宋" w:eastAsia="华文仿宋" w:cs="宋体"/>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1" w:type="dxa"/>
          </w:tcPr>
          <w:p>
            <w:pPr>
              <w:spacing w:after="0" w:line="560" w:lineRule="exact"/>
              <w:jc w:val="center"/>
              <w:rPr>
                <w:rFonts w:ascii="华文仿宋" w:hAnsi="华文仿宋" w:eastAsia="华文仿宋" w:cs="ArialUnicodeMS"/>
                <w:kern w:val="0"/>
                <w:sz w:val="28"/>
                <w:szCs w:val="28"/>
              </w:rPr>
            </w:pPr>
            <w:r>
              <w:rPr>
                <w:rFonts w:ascii="华文仿宋" w:hAnsi="华文仿宋" w:eastAsia="华文仿宋" w:cs="ArialUnicodeMS"/>
                <w:kern w:val="0"/>
                <w:sz w:val="28"/>
                <w:szCs w:val="28"/>
              </w:rPr>
              <w:t>2</w:t>
            </w:r>
          </w:p>
        </w:tc>
        <w:tc>
          <w:tcPr>
            <w:tcW w:w="4037" w:type="dxa"/>
          </w:tcPr>
          <w:p>
            <w:pPr>
              <w:spacing w:after="0" w:line="560" w:lineRule="exact"/>
              <w:rPr>
                <w:rFonts w:ascii="华文仿宋" w:hAnsi="华文仿宋" w:eastAsia="华文仿宋" w:cs="ArialUnicodeMS"/>
                <w:kern w:val="0"/>
                <w:sz w:val="28"/>
                <w:szCs w:val="28"/>
              </w:rPr>
            </w:pPr>
            <w:r>
              <w:rPr>
                <w:rFonts w:hint="eastAsia" w:ascii="华文仿宋" w:hAnsi="华文仿宋" w:eastAsia="华文仿宋" w:cs="宋体"/>
                <w:kern w:val="0"/>
                <w:sz w:val="28"/>
                <w:szCs w:val="28"/>
              </w:rPr>
              <w:t>文安县市政工程队</w:t>
            </w:r>
          </w:p>
        </w:tc>
        <w:tc>
          <w:tcPr>
            <w:tcW w:w="2359" w:type="dxa"/>
          </w:tcPr>
          <w:p>
            <w:pPr>
              <w:spacing w:after="0" w:line="560" w:lineRule="exact"/>
              <w:jc w:val="center"/>
              <w:rPr>
                <w:rFonts w:ascii="华文仿宋" w:hAnsi="华文仿宋" w:eastAsia="华文仿宋" w:cs="ArialUnicodeMS"/>
                <w:kern w:val="0"/>
                <w:sz w:val="28"/>
                <w:szCs w:val="28"/>
              </w:rPr>
            </w:pPr>
            <w:r>
              <w:rPr>
                <w:rFonts w:hint="eastAsia" w:ascii="华文仿宋" w:hAnsi="华文仿宋" w:eastAsia="华文仿宋" w:cs="宋体"/>
                <w:kern w:val="0"/>
                <w:sz w:val="24"/>
                <w:szCs w:val="28"/>
              </w:rPr>
              <w:t>财政补助事业单位</w:t>
            </w:r>
          </w:p>
        </w:tc>
        <w:tc>
          <w:tcPr>
            <w:tcW w:w="2403" w:type="dxa"/>
          </w:tcPr>
          <w:p>
            <w:pPr>
              <w:spacing w:after="0" w:line="560" w:lineRule="exact"/>
              <w:jc w:val="center"/>
              <w:rPr>
                <w:rFonts w:ascii="华文仿宋" w:hAnsi="华文仿宋" w:eastAsia="华文仿宋" w:cs="ArialUnicodeMS"/>
                <w:b/>
                <w:kern w:val="0"/>
                <w:sz w:val="28"/>
                <w:szCs w:val="28"/>
              </w:rPr>
            </w:pPr>
            <w:r>
              <w:rPr>
                <w:rFonts w:hint="eastAsia" w:ascii="华文仿宋" w:hAnsi="华文仿宋" w:eastAsia="华文仿宋" w:cs="Arial"/>
                <w:color w:val="333333"/>
                <w:szCs w:val="21"/>
                <w:shd w:val="clear" w:color="auto" w:fill="FFFFFF"/>
              </w:rPr>
              <w:t>财政性资金基本保证</w:t>
            </w:r>
          </w:p>
        </w:tc>
      </w:tr>
    </w:tbl>
    <w:p>
      <w:pPr>
        <w:widowControl/>
        <w:spacing w:line="560" w:lineRule="exact"/>
        <w:jc w:val="center"/>
        <w:rPr>
          <w:rFonts w:ascii="华文仿宋" w:hAnsi="华文仿宋" w:eastAsia="华文仿宋"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r>
        <w:rPr>
          <w:rFonts w:hint="eastAsia" w:ascii="黑体" w:hAnsi="宋体" w:eastAsia="黑体"/>
          <w:color w:val="000000"/>
          <w:sz w:val="72"/>
          <w:szCs w:val="96"/>
        </w:rPr>
        <w:t>第二部分</w:t>
      </w:r>
    </w:p>
    <w:p>
      <w:pPr>
        <w:widowControl/>
        <w:spacing w:line="1200" w:lineRule="exact"/>
        <w:jc w:val="center"/>
        <w:rPr>
          <w:rFonts w:ascii="黑体" w:hAnsi="宋体" w:eastAsia="黑体"/>
          <w:color w:val="000000"/>
          <w:sz w:val="72"/>
          <w:szCs w:val="96"/>
        </w:rPr>
      </w:pPr>
      <w:r>
        <w:rPr>
          <w:rFonts w:ascii="黑体" w:hAnsi="宋体" w:eastAsia="黑体"/>
          <w:color w:val="000000"/>
          <w:sz w:val="72"/>
          <w:szCs w:val="96"/>
        </w:rPr>
        <w:t>201</w:t>
      </w:r>
      <w:r>
        <w:rPr>
          <w:rFonts w:hint="eastAsia" w:ascii="黑体" w:hAnsi="宋体" w:eastAsia="黑体"/>
          <w:color w:val="000000"/>
          <w:sz w:val="72"/>
          <w:szCs w:val="96"/>
          <w:lang w:val="en-US" w:eastAsia="zh-CN"/>
        </w:rPr>
        <w:t>9</w:t>
      </w:r>
      <w:r>
        <w:rPr>
          <w:rFonts w:hint="eastAsia" w:ascii="黑体" w:hAnsi="宋体" w:eastAsia="黑体"/>
          <w:color w:val="000000"/>
          <w:sz w:val="72"/>
          <w:szCs w:val="96"/>
        </w:rPr>
        <w:t>年度部门决算报表</w:t>
      </w:r>
    </w:p>
    <w:p>
      <w:pPr>
        <w:widowControl/>
        <w:spacing w:line="1200" w:lineRule="exact"/>
        <w:jc w:val="center"/>
        <w:rPr>
          <w:color w:val="000000"/>
          <w:sz w:val="144"/>
          <w:szCs w:val="96"/>
        </w:rPr>
      </w:pPr>
      <w:r>
        <w:rPr>
          <w:rFonts w:hint="eastAsia" w:eastAsia="黑体"/>
          <w:sz w:val="36"/>
          <w:szCs w:val="28"/>
        </w:rPr>
        <w:t>部门决算报表（见附表）</w: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r>
        <w:rPr>
          <w:rFonts w:hint="eastAsia" w:ascii="黑体" w:hAnsi="宋体" w:eastAsia="黑体"/>
          <w:color w:val="000000"/>
          <w:sz w:val="72"/>
          <w:szCs w:val="96"/>
        </w:rPr>
        <w:t>第三部分</w:t>
      </w:r>
    </w:p>
    <w:p>
      <w:pPr>
        <w:widowControl/>
        <w:spacing w:line="1200" w:lineRule="exact"/>
        <w:jc w:val="center"/>
        <w:rPr>
          <w:color w:val="000000"/>
          <w:sz w:val="72"/>
          <w:szCs w:val="96"/>
        </w:rPr>
      </w:pPr>
      <w:r>
        <w:rPr>
          <w:rFonts w:hint="eastAsia" w:ascii="黑体" w:hAnsi="宋体" w:eastAsia="黑体"/>
          <w:color w:val="000000"/>
          <w:sz w:val="72"/>
          <w:szCs w:val="96"/>
        </w:rPr>
        <w:t>部门决算情况说明</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一、收入</w:t>
      </w:r>
      <w:r>
        <w:rPr>
          <w:rFonts w:hint="eastAsia" w:ascii="黑体" w:hAnsi="黑体" w:eastAsia="黑体" w:cs="黑体"/>
          <w:b w:val="0"/>
          <w:bCs w:val="0"/>
          <w:kern w:val="0"/>
        </w:rPr>
        <w:t>支出</w:t>
      </w:r>
      <w:r>
        <w:rPr>
          <w:rFonts w:hint="eastAsia" w:ascii="黑体" w:hAnsi="黑体" w:eastAsia="黑体" w:cs="黑体"/>
          <w:b w:val="0"/>
          <w:bCs w:val="0"/>
        </w:rPr>
        <w:t>决算总体情况说明</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本部门2019年度收支总计（含结转和结余）31544万元。与2018年度决算相比，收入减少5711.58万元，下降18%，支出减少5461.56万元，下降17%。主要原因是气代煤上级资金拨入、支出资金减少。</w:t>
      </w: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二、收入决算情况说明</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本部门2019年度本年收入合计26000.57万元，其中：财政拨款收入26000.57万元，占100%；事业收入0万元，占0%；经营收入0万元，占0%；其他收入0万元，占0%。</w:t>
      </w: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三、支出决算情况说明</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本部门2019年度本年支出合计20524.22万元，其中：基本支出4870.58万元，占23%；项目支出15653.64万元，占77%；经营支出0万元，占0%。</w:t>
      </w: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四、财政拨款收入支出决算情况说明</w:t>
      </w: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（一）财政拨款收支与</w:t>
      </w:r>
      <w:r>
        <w:rPr>
          <w:rFonts w:hint="eastAsia" w:ascii="黑体" w:hAnsi="黑体" w:eastAsia="黑体" w:cs="黑体"/>
          <w:b w:val="0"/>
          <w:bCs w:val="0"/>
          <w:lang w:eastAsia="zh-CN"/>
        </w:rPr>
        <w:t>2018</w:t>
      </w:r>
      <w:r>
        <w:rPr>
          <w:rFonts w:hint="eastAsia" w:ascii="黑体" w:hAnsi="黑体" w:eastAsia="黑体" w:cs="黑体"/>
          <w:b w:val="0"/>
          <w:bCs w:val="0"/>
        </w:rPr>
        <w:t xml:space="preserve"> 年度决算对比情况</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本部门2019年度财政拨款本年收入26000.57万元,比2018年度减少5711.58万元，减少18%，主要是气代煤工程上级资金减少；本年支出20524.22万元，减少5461.56万元，减少21%，主要是气代煤工程上级资金减少。具体情况如下：</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一般公共预算财政拨款本年收入21923.98万元，比上年减少6026.57万元，减少21%，主要是气代煤工程上级资金减少；本年支出17990.34万元，比上年减少4233.84万元，减少19%，主要是气代煤工程上级资金减少。</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 政府性基金预算财政拨款本年收入4076.59万元，比上年增加314.99万元，增长8%，主要是政府性基金项目增加；本年支出2533.88万元，比上年减少1227.72万元，减少33%，</w:t>
      </w:r>
      <w:r>
        <w:rPr>
          <w:rFonts w:hint="eastAsia" w:ascii="仿宋_GB2312" w:eastAsia="仿宋_GB2312" w:cs="DengXian-Regular"/>
          <w:kern w:val="2"/>
          <w:sz w:val="32"/>
          <w:szCs w:val="32"/>
          <w:lang w:val="en-US" w:eastAsia="zh-CN" w:bidi="ar-SA"/>
        </w:rPr>
        <w:t>主要是</w:t>
      </w:r>
      <w:r>
        <w:rPr>
          <w:rFonts w:hint="eastAsia" w:ascii="仿宋_GB2312" w:hAnsi="Times New Roman" w:eastAsia="仿宋_GB2312" w:cs="DengXian-Regular"/>
          <w:color w:val="auto"/>
          <w:kern w:val="2"/>
          <w:sz w:val="32"/>
          <w:szCs w:val="32"/>
          <w:lang w:val="en-US" w:eastAsia="zh-CN" w:bidi="ar-SA"/>
        </w:rPr>
        <w:t>政府性基金项目</w:t>
      </w:r>
      <w:r>
        <w:rPr>
          <w:rFonts w:hint="eastAsia" w:ascii="仿宋_GB2312" w:eastAsia="仿宋_GB2312" w:cs="DengXian-Regular"/>
          <w:color w:val="auto"/>
          <w:kern w:val="2"/>
          <w:sz w:val="32"/>
          <w:szCs w:val="32"/>
          <w:lang w:val="en-US" w:eastAsia="zh-CN" w:bidi="ar-SA"/>
        </w:rPr>
        <w:t>减少</w:t>
      </w:r>
      <w:r>
        <w:rPr>
          <w:rFonts w:hint="eastAsia" w:ascii="仿宋_GB2312" w:hAnsi="Times New Roman" w:eastAsia="仿宋_GB2312" w:cs="DengXian-Regular"/>
          <w:color w:val="auto"/>
          <w:kern w:val="2"/>
          <w:sz w:val="32"/>
          <w:szCs w:val="32"/>
          <w:lang w:val="en-US" w:eastAsia="zh-CN" w:bidi="ar-SA"/>
        </w:rPr>
        <w:t>。</w:t>
      </w:r>
    </w:p>
    <w:p>
      <w:pPr>
        <w:pStyle w:val="3"/>
        <w:spacing w:before="0" w:after="0" w:line="580" w:lineRule="exact"/>
        <w:ind w:firstLine="640" w:firstLineChars="200"/>
        <w:rPr>
          <w:rFonts w:hint="eastAsia" w:ascii="黑体" w:hAnsi="黑体" w:eastAsia="黑体" w:cs="黑体"/>
          <w:b w:val="0"/>
          <w:bCs w:val="0"/>
        </w:rPr>
      </w:pPr>
      <w:r>
        <w:rPr>
          <w:rFonts w:hint="eastAsia" w:ascii="黑体" w:hAnsi="黑体" w:eastAsia="黑体" w:cs="黑体"/>
          <w:b w:val="0"/>
          <w:bCs w:val="0"/>
        </w:rPr>
        <w:t>（二）财政拨款收支与年初预算数对比情况</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财政拨款本年收入26000.57万元，完成年初预算的374%,比年初预算增加19055.76万元，决算数大于预算数主要是气代煤工程上级资金增加；本年支出20524.22万元，完成年初预算的296%,比年初预算增加13579.41万元，决算数大于预算数主要是气代煤工程上级资金增加。具体情况如下：</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1一般公共预算财政拨款本年收入完成年初预算316%，比年初预算增加14979.17万元，主要是气代煤工程上级资金增加；支出完成年初预算99%，比年初预算增加11045.53万元，主要是气代煤工程上级资金增加。</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w:t>
      </w:r>
      <w:r>
        <w:rPr>
          <w:rFonts w:hint="eastAsia" w:ascii="仿宋_GB2312" w:hAnsi="Times New Roman" w:eastAsia="仿宋_GB2312" w:cs="DengXian-Regular"/>
          <w:color w:val="auto"/>
          <w:kern w:val="2"/>
          <w:sz w:val="32"/>
          <w:szCs w:val="32"/>
          <w:lang w:val="en-US" w:eastAsia="zh-CN" w:bidi="ar-SA"/>
        </w:rPr>
        <w:t>政府性基金预算财政拨款</w:t>
      </w:r>
      <w:r>
        <w:rPr>
          <w:rFonts w:hint="eastAsia" w:ascii="仿宋_GB2312" w:eastAsia="仿宋_GB2312" w:cs="DengXian-Regular"/>
          <w:color w:val="auto"/>
          <w:kern w:val="2"/>
          <w:sz w:val="32"/>
          <w:szCs w:val="32"/>
          <w:lang w:val="en-US" w:eastAsia="zh-CN" w:bidi="ar-SA"/>
        </w:rPr>
        <w:t>407万元，年初预算为0</w:t>
      </w:r>
      <w:r>
        <w:rPr>
          <w:rFonts w:hint="eastAsia" w:ascii="仿宋_GB2312" w:hAnsi="Times New Roman" w:eastAsia="仿宋_GB2312" w:cs="DengXian-Regular"/>
          <w:color w:val="auto"/>
          <w:kern w:val="2"/>
          <w:sz w:val="32"/>
          <w:szCs w:val="32"/>
          <w:lang w:val="en-US" w:eastAsia="zh-CN" w:bidi="ar-SA"/>
        </w:rPr>
        <w:t>，比年初预算增加407万元，</w:t>
      </w:r>
      <w:r>
        <w:rPr>
          <w:rFonts w:hint="eastAsia" w:ascii="仿宋_GB2312" w:hAnsi="Times New Roman" w:eastAsia="仿宋_GB2312" w:cs="DengXian-Regular"/>
          <w:kern w:val="2"/>
          <w:sz w:val="32"/>
          <w:szCs w:val="32"/>
          <w:lang w:val="en-US" w:eastAsia="zh-CN" w:bidi="ar-SA"/>
        </w:rPr>
        <w:t>主要是政府性基金项目的增加；支出完成年初预算253%，比年初预算增加253万元，主要是政府性基金项目的增加。</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p>
    <w:p>
      <w:pPr>
        <w:numPr>
          <w:ilvl w:val="0"/>
          <w:numId w:val="2"/>
        </w:numPr>
        <w:adjustRightInd w:val="0"/>
        <w:snapToGrid w:val="0"/>
        <w:spacing w:after="0" w:line="580" w:lineRule="exact"/>
        <w:ind w:left="420" w:left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财政拨款支出决算结构情况。</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2019 年度财政拨款支出20524.22万元，主要用于以下方面：一般公共服务支出124.42万元，占1%；社会保障和就业支出333.14万元，占2%；城乡社区支出7562.09万元，占37%。节能环保支出10014.01万元，占49%；住房保障支出1442.62万元，占7%；其他支出1047.94万元，占4%。</w:t>
      </w:r>
    </w:p>
    <w:p>
      <w:pPr>
        <w:adjustRightInd w:val="0"/>
        <w:snapToGrid w:val="0"/>
        <w:spacing w:after="0" w:line="580" w:lineRule="exact"/>
        <w:ind w:left="420" w:leftChars="200"/>
        <w:rPr>
          <w:rFonts w:ascii="华文仿宋" w:hAnsi="华文仿宋" w:eastAsia="华文仿宋" w:cs="DengXian-Bold"/>
          <w:b/>
          <w:bCs/>
          <w:sz w:val="32"/>
          <w:szCs w:val="32"/>
        </w:rPr>
      </w:pPr>
      <w:r>
        <w:rPr>
          <w:rFonts w:hint="eastAsia" w:ascii="黑体" w:hAnsi="黑体" w:eastAsia="黑体" w:cs="黑体"/>
          <w:b w:val="0"/>
          <w:bCs w:val="0"/>
          <w:kern w:val="2"/>
          <w:sz w:val="32"/>
          <w:szCs w:val="32"/>
          <w:lang w:val="en-US" w:eastAsia="zh-CN" w:bidi="ar-SA"/>
        </w:rPr>
        <w:t>（四）一般公共预算财政拨款基本支出决算情况说明</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2019 年度一般公共预算财政拨款基本支出4870.58万元，其中：人员经费 4639.92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230.66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五、一般公共预算财政拨款“三公” 经费支出决算情况说明</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本部门2019年度一般公共预算财政拨款“三公”经费支出共计6.08万元，比年初预算减少11.12万元，减少65%，主要是公务接待费减少；比2018年度决算增加2.2万元，增加57%，主要是机构合并费用增加。具体情况如下：</w:t>
      </w:r>
    </w:p>
    <w:p>
      <w:pPr>
        <w:pStyle w:val="33"/>
        <w:numPr>
          <w:ilvl w:val="0"/>
          <w:numId w:val="3"/>
        </w:numPr>
        <w:adjustRightInd w:val="0"/>
        <w:snapToGrid w:val="0"/>
        <w:spacing w:line="584" w:lineRule="exact"/>
        <w:ind w:firstLineChars="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因公出国（境）费支出0万元。</w:t>
      </w:r>
    </w:p>
    <w:p>
      <w:pPr>
        <w:pStyle w:val="11"/>
        <w:widowControl/>
        <w:shd w:val="clear" w:color="auto" w:fill="FFFFFF"/>
        <w:spacing w:before="0" w:beforeAutospacing="0" w:after="0" w:afterAutospacing="0" w:line="405" w:lineRule="atLeas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本部门2019年度因公出国（境）团组0个、共0人/参加其他单位组织的因公出国（境）团组0个、共0人/无本单位组织的出国（境）团组。因公出国（境）费支出较年初预算持平，较上年持平。</w:t>
      </w:r>
    </w:p>
    <w:p>
      <w:pPr>
        <w:adjustRightInd w:val="0"/>
        <w:snapToGrid w:val="0"/>
        <w:spacing w:line="584" w:lineRule="exact"/>
        <w:ind w:firstLine="641" w:firstLineChars="200"/>
        <w:rPr>
          <w:rFonts w:hint="eastAsia" w:ascii="仿宋_GB2312" w:hAnsi="Times New Roman" w:eastAsia="仿宋_GB2312" w:cs="DengXian-Regular"/>
          <w:kern w:val="2"/>
          <w:sz w:val="32"/>
          <w:szCs w:val="32"/>
          <w:lang w:val="en-US" w:eastAsia="zh-CN" w:bidi="ar-SA"/>
        </w:rPr>
      </w:pPr>
      <w:r>
        <w:rPr>
          <w:rFonts w:hint="eastAsia" w:ascii="华文仿宋" w:hAnsi="华文仿宋" w:eastAsia="华文仿宋"/>
          <w:b/>
          <w:bCs/>
          <w:sz w:val="32"/>
          <w:szCs w:val="32"/>
        </w:rPr>
        <w:t>（二）</w:t>
      </w:r>
      <w:r>
        <w:rPr>
          <w:rFonts w:hint="eastAsia" w:ascii="黑体" w:hAnsi="黑体" w:eastAsia="黑体" w:cs="黑体"/>
          <w:b w:val="0"/>
          <w:bCs w:val="0"/>
          <w:kern w:val="2"/>
          <w:sz w:val="32"/>
          <w:szCs w:val="32"/>
          <w:lang w:val="en-US" w:eastAsia="zh-CN" w:bidi="ar-SA"/>
        </w:rPr>
        <w:t>公务用车购置及运行维护费支出4.54万元。</w:t>
      </w:r>
      <w:r>
        <w:rPr>
          <w:rFonts w:hint="eastAsia" w:ascii="仿宋_GB2312" w:hAnsi="Times New Roman" w:eastAsia="仿宋_GB2312" w:cs="DengXian-Regular"/>
          <w:kern w:val="2"/>
          <w:sz w:val="32"/>
          <w:szCs w:val="32"/>
          <w:lang w:val="en-US" w:eastAsia="zh-CN" w:bidi="ar-SA"/>
        </w:rPr>
        <w:t>本部门2019年度公务用车购置及运行维护费比年初预算减少2.66万元，降低37%,主要是减少出车次数；比2018年度决算增加0.66万元，增加17%，主要是机构合并，车辆增加。其中：公务用车购置费支出0万元</w:t>
      </w:r>
      <w:r>
        <w:rPr>
          <w:rFonts w:hint="eastAsia" w:ascii="仿宋_GB2312" w:eastAsia="仿宋_GB2312" w:cs="DengXian-Regular"/>
          <w:kern w:val="2"/>
          <w:sz w:val="32"/>
          <w:szCs w:val="32"/>
          <w:lang w:val="en-US" w:eastAsia="zh-CN" w:bidi="ar-SA"/>
        </w:rPr>
        <w:t>，</w:t>
      </w:r>
      <w:bookmarkStart w:id="0" w:name="_GoBack"/>
      <w:bookmarkEnd w:id="0"/>
      <w:r>
        <w:rPr>
          <w:rFonts w:hint="eastAsia" w:ascii="仿宋_GB2312" w:hAnsi="Times New Roman" w:eastAsia="仿宋_GB2312" w:cs="DengXian-Regular"/>
          <w:kern w:val="2"/>
          <w:sz w:val="32"/>
          <w:szCs w:val="32"/>
          <w:lang w:val="en-US" w:eastAsia="zh-CN" w:bidi="ar-SA"/>
        </w:rPr>
        <w:t>本部门2019年度公务用车购置量0辆，发生“公务用车购置”经费支出0万元。公务用车购置费支出较预算增加0万元，增长0%,主要是没有增加公务用车；较上年增加0万元，增长0%,主要是没有增加公务用车公务用车运行维护费支出4.54万元。本部门2019年末单位公务用车保有量6辆。公车运行维护费支出比年初预算减少2.66万元，降低37%，主要是减少出车次数；比2018年度决算增加0.66万元，增加17%，主要是机构合并，车辆增加。</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（三）公务接待费支出1.54万元。</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本部门2019年度公务接待共22批次、242人次。比年初预算减少8.46万元，降低9%,主要是减少招待次数；比2018年度决算增加1.54万元，主要是机构合并，招待次数增加。</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六、预算绩效情况说明</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（一）、预算绩效管理工作开展情况。</w:t>
      </w:r>
    </w:p>
    <w:p>
      <w:pPr>
        <w:pStyle w:val="33"/>
        <w:numPr>
          <w:ilvl w:val="0"/>
          <w:numId w:val="0"/>
        </w:numPr>
        <w:adjustRightInd w:val="0"/>
        <w:snapToGrid w:val="0"/>
        <w:spacing w:after="0" w:line="240" w:lineRule="auto"/>
        <w:ind w:leftChars="0"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根据预算绩效管理要求，本部门组织对2019年度一般公共预算项目支出全面开展绩效自评，其中，一级项目</w:t>
      </w:r>
      <w:r>
        <w:rPr>
          <w:rFonts w:hint="eastAsia" w:ascii="仿宋_GB2312" w:eastAsia="仿宋_GB2312" w:cs="DengXian-Regular"/>
          <w:kern w:val="2"/>
          <w:sz w:val="32"/>
          <w:szCs w:val="32"/>
          <w:lang w:val="en-US" w:eastAsia="zh-CN" w:bidi="ar-SA"/>
        </w:rPr>
        <w:t>49</w:t>
      </w:r>
      <w:r>
        <w:rPr>
          <w:rFonts w:hint="eastAsia" w:ascii="仿宋_GB2312" w:hAnsi="Times New Roman" w:eastAsia="仿宋_GB2312" w:cs="DengXian-Regular"/>
          <w:kern w:val="2"/>
          <w:sz w:val="32"/>
          <w:szCs w:val="32"/>
          <w:lang w:val="en-US" w:eastAsia="zh-CN" w:bidi="ar-SA"/>
        </w:rPr>
        <w:t>个，二级项目</w:t>
      </w:r>
      <w:r>
        <w:rPr>
          <w:rFonts w:hint="eastAsia" w:ascii="仿宋_GB2312" w:eastAsia="仿宋_GB2312" w:cs="DengXian-Regular"/>
          <w:kern w:val="2"/>
          <w:sz w:val="32"/>
          <w:szCs w:val="32"/>
          <w:lang w:val="en-US" w:eastAsia="zh-CN" w:bidi="ar-SA"/>
        </w:rPr>
        <w:t>0</w:t>
      </w:r>
      <w:r>
        <w:rPr>
          <w:rFonts w:hint="eastAsia" w:ascii="仿宋_GB2312" w:hAnsi="Times New Roman" w:eastAsia="仿宋_GB2312" w:cs="DengXian-Regular"/>
          <w:kern w:val="2"/>
          <w:sz w:val="32"/>
          <w:szCs w:val="32"/>
          <w:lang w:val="en-US" w:eastAsia="zh-CN" w:bidi="ar-SA"/>
        </w:rPr>
        <w:t>个，共涉及资金</w:t>
      </w:r>
      <w:r>
        <w:rPr>
          <w:rFonts w:hint="eastAsia" w:ascii="仿宋_GB2312" w:eastAsia="仿宋_GB2312" w:cs="DengXian-Regular"/>
          <w:kern w:val="2"/>
          <w:sz w:val="32"/>
          <w:szCs w:val="32"/>
          <w:lang w:val="en-US" w:eastAsia="zh-CN" w:bidi="ar-SA"/>
        </w:rPr>
        <w:t>21207</w:t>
      </w:r>
      <w:r>
        <w:rPr>
          <w:rFonts w:hint="eastAsia" w:ascii="仿宋_GB2312" w:hAnsi="Times New Roman" w:eastAsia="仿宋_GB2312" w:cs="DengXian-Regular"/>
          <w:kern w:val="2"/>
          <w:sz w:val="32"/>
          <w:szCs w:val="32"/>
          <w:lang w:val="en-US" w:eastAsia="zh-CN" w:bidi="ar-SA"/>
        </w:rPr>
        <w:t>万元，占一般公共预算项目支出总额的</w:t>
      </w:r>
      <w:r>
        <w:rPr>
          <w:rFonts w:hint="eastAsia" w:ascii="仿宋_GB2312" w:eastAsia="仿宋_GB2312" w:cs="DengXian-Regular"/>
          <w:kern w:val="2"/>
          <w:sz w:val="32"/>
          <w:szCs w:val="32"/>
          <w:lang w:val="en-US" w:eastAsia="zh-CN" w:bidi="ar-SA"/>
        </w:rPr>
        <w:t>100%</w:t>
      </w:r>
      <w:r>
        <w:rPr>
          <w:rFonts w:hint="eastAsia" w:ascii="仿宋_GB2312" w:hAnsi="Times New Roman" w:eastAsia="仿宋_GB2312" w:cs="DengXian-Regular"/>
          <w:kern w:val="2"/>
          <w:sz w:val="32"/>
          <w:szCs w:val="32"/>
          <w:lang w:val="en-US" w:eastAsia="zh-CN" w:bidi="ar-SA"/>
        </w:rPr>
        <w:t>。组织对2019年度</w:t>
      </w:r>
      <w:r>
        <w:rPr>
          <w:rFonts w:hint="eastAsia" w:ascii="仿宋_GB2312" w:eastAsia="仿宋_GB2312" w:cs="DengXian-Regular"/>
          <w:kern w:val="2"/>
          <w:sz w:val="32"/>
          <w:szCs w:val="32"/>
          <w:lang w:val="en-US" w:eastAsia="zh-CN" w:bidi="ar-SA"/>
        </w:rPr>
        <w:t>“相公庄泵站”</w:t>
      </w:r>
      <w:r>
        <w:rPr>
          <w:rFonts w:hint="eastAsia" w:ascii="仿宋_GB2312" w:hAnsi="Times New Roman" w:eastAsia="仿宋_GB2312" w:cs="DengXian-Regular"/>
          <w:kern w:val="2"/>
          <w:sz w:val="32"/>
          <w:szCs w:val="32"/>
          <w:lang w:val="en-US" w:eastAsia="zh-CN" w:bidi="ar-SA"/>
        </w:rPr>
        <w:t>、</w:t>
      </w:r>
      <w:r>
        <w:rPr>
          <w:rFonts w:hint="eastAsia" w:ascii="仿宋_GB2312" w:eastAsia="仿宋_GB2312" w:cs="DengXian-Regular"/>
          <w:kern w:val="2"/>
          <w:sz w:val="32"/>
          <w:szCs w:val="32"/>
          <w:lang w:val="en-US" w:eastAsia="zh-CN" w:bidi="ar-SA"/>
        </w:rPr>
        <w:t>“曙光路新建工程”</w:t>
      </w:r>
      <w:r>
        <w:rPr>
          <w:rFonts w:hint="eastAsia" w:ascii="仿宋_GB2312" w:hAnsi="Times New Roman" w:eastAsia="仿宋_GB2312" w:cs="DengXian-Regular"/>
          <w:kern w:val="2"/>
          <w:sz w:val="32"/>
          <w:szCs w:val="32"/>
          <w:lang w:val="en-US" w:eastAsia="zh-CN" w:bidi="ar-SA"/>
        </w:rPr>
        <w:t>等</w:t>
      </w:r>
      <w:r>
        <w:rPr>
          <w:rFonts w:hint="eastAsia" w:ascii="仿宋_GB2312" w:eastAsia="仿宋_GB2312" w:cs="DengXian-Regular"/>
          <w:kern w:val="2"/>
          <w:sz w:val="32"/>
          <w:szCs w:val="32"/>
          <w:lang w:val="en-US" w:eastAsia="zh-CN" w:bidi="ar-SA"/>
        </w:rPr>
        <w:t>8</w:t>
      </w:r>
      <w:r>
        <w:rPr>
          <w:rFonts w:hint="eastAsia" w:ascii="仿宋_GB2312" w:hAnsi="Times New Roman" w:eastAsia="仿宋_GB2312" w:cs="DengXian-Regular"/>
          <w:kern w:val="2"/>
          <w:sz w:val="32"/>
          <w:szCs w:val="32"/>
          <w:lang w:val="en-US" w:eastAsia="zh-CN" w:bidi="ar-SA"/>
        </w:rPr>
        <w:t>个政府性基金预算项目支出开展绩效自评，共涉及资金</w:t>
      </w:r>
      <w:r>
        <w:rPr>
          <w:rFonts w:hint="eastAsia" w:ascii="仿宋_GB2312" w:eastAsia="仿宋_GB2312" w:cs="DengXian-Regular"/>
          <w:kern w:val="2"/>
          <w:sz w:val="32"/>
          <w:szCs w:val="32"/>
          <w:lang w:val="en-US" w:eastAsia="zh-CN" w:bidi="ar-SA"/>
        </w:rPr>
        <w:t>2533.88</w:t>
      </w:r>
      <w:r>
        <w:rPr>
          <w:rFonts w:hint="eastAsia" w:ascii="仿宋_GB2312" w:hAnsi="Times New Roman" w:eastAsia="仿宋_GB2312" w:cs="DengXian-Regular"/>
          <w:kern w:val="2"/>
          <w:sz w:val="32"/>
          <w:szCs w:val="32"/>
          <w:lang w:val="en-US" w:eastAsia="zh-CN" w:bidi="ar-SA"/>
        </w:rPr>
        <w:t>万元，占政府性基金预算项目支出总额的</w:t>
      </w:r>
      <w:r>
        <w:rPr>
          <w:rFonts w:hint="eastAsia" w:ascii="仿宋_GB2312" w:eastAsia="仿宋_GB2312" w:cs="DengXian-Regular"/>
          <w:kern w:val="2"/>
          <w:sz w:val="32"/>
          <w:szCs w:val="32"/>
          <w:lang w:val="en-US" w:eastAsia="zh-CN" w:bidi="ar-SA"/>
        </w:rPr>
        <w:t>100%</w:t>
      </w:r>
      <w:r>
        <w:rPr>
          <w:rFonts w:hint="eastAsia" w:ascii="仿宋_GB2312" w:hAnsi="Times New Roman" w:eastAsia="仿宋_GB2312" w:cs="DengXian-Regular"/>
          <w:kern w:val="2"/>
          <w:sz w:val="32"/>
          <w:szCs w:val="32"/>
          <w:lang w:val="en-US" w:eastAsia="zh-CN" w:bidi="ar-SA"/>
        </w:rPr>
        <w:t>。组织对</w:t>
      </w:r>
      <w:r>
        <w:rPr>
          <w:rFonts w:hint="eastAsia" w:ascii="仿宋_GB2312" w:eastAsia="仿宋_GB2312" w:cs="DengXian-Regular"/>
          <w:kern w:val="2"/>
          <w:sz w:val="32"/>
          <w:szCs w:val="32"/>
          <w:lang w:val="en-US" w:eastAsia="zh-CN" w:bidi="ar-SA"/>
        </w:rPr>
        <w:t>“相公庄泵站”</w:t>
      </w:r>
      <w:r>
        <w:rPr>
          <w:rFonts w:hint="eastAsia" w:ascii="仿宋_GB2312" w:hAnsi="Times New Roman" w:eastAsia="仿宋_GB2312" w:cs="DengXian-Regular"/>
          <w:kern w:val="2"/>
          <w:sz w:val="32"/>
          <w:szCs w:val="32"/>
          <w:lang w:val="en-US" w:eastAsia="zh-CN" w:bidi="ar-SA"/>
        </w:rPr>
        <w:t>、</w:t>
      </w:r>
      <w:r>
        <w:rPr>
          <w:rFonts w:hint="eastAsia" w:ascii="仿宋_GB2312" w:eastAsia="仿宋_GB2312" w:cs="DengXian-Regular"/>
          <w:kern w:val="2"/>
          <w:sz w:val="32"/>
          <w:szCs w:val="32"/>
          <w:lang w:val="en-US" w:eastAsia="zh-CN" w:bidi="ar-SA"/>
        </w:rPr>
        <w:t>“曙光路新建工程”</w:t>
      </w:r>
      <w:r>
        <w:rPr>
          <w:rFonts w:hint="eastAsia" w:ascii="仿宋_GB2312" w:hAnsi="Times New Roman" w:eastAsia="仿宋_GB2312" w:cs="DengXian-Regular"/>
          <w:kern w:val="2"/>
          <w:sz w:val="32"/>
          <w:szCs w:val="32"/>
          <w:lang w:val="en-US" w:eastAsia="zh-CN" w:bidi="ar-SA"/>
        </w:rPr>
        <w:t>等</w:t>
      </w:r>
      <w:r>
        <w:rPr>
          <w:rFonts w:hint="eastAsia" w:ascii="仿宋_GB2312" w:eastAsia="仿宋_GB2312" w:cs="DengXian-Regular"/>
          <w:kern w:val="2"/>
          <w:sz w:val="32"/>
          <w:szCs w:val="32"/>
          <w:lang w:val="en-US" w:eastAsia="zh-CN" w:bidi="ar-SA"/>
        </w:rPr>
        <w:t>49</w:t>
      </w:r>
      <w:r>
        <w:rPr>
          <w:rFonts w:hint="eastAsia" w:ascii="仿宋_GB2312" w:hAnsi="Times New Roman" w:eastAsia="仿宋_GB2312" w:cs="DengXian-Regular"/>
          <w:kern w:val="2"/>
          <w:sz w:val="32"/>
          <w:szCs w:val="32"/>
          <w:lang w:val="en-US" w:eastAsia="zh-CN" w:bidi="ar-SA"/>
        </w:rPr>
        <w:t>个项目开展了部门评价，涉及一般公共预算支出</w:t>
      </w:r>
      <w:r>
        <w:rPr>
          <w:rFonts w:hint="eastAsia" w:ascii="仿宋_GB2312" w:eastAsia="仿宋_GB2312" w:cs="DengXian-Regular"/>
          <w:kern w:val="2"/>
          <w:sz w:val="32"/>
          <w:szCs w:val="32"/>
          <w:lang w:val="en-US" w:eastAsia="zh-CN" w:bidi="ar-SA"/>
        </w:rPr>
        <w:t>18673.12</w:t>
      </w:r>
      <w:r>
        <w:rPr>
          <w:rFonts w:hint="eastAsia" w:ascii="仿宋_GB2312" w:hAnsi="Times New Roman" w:eastAsia="仿宋_GB2312" w:cs="DengXian-Regular"/>
          <w:kern w:val="2"/>
          <w:sz w:val="32"/>
          <w:szCs w:val="32"/>
          <w:lang w:val="en-US" w:eastAsia="zh-CN" w:bidi="ar-SA"/>
        </w:rPr>
        <w:t>万元，政府性基金预算支出</w:t>
      </w:r>
      <w:r>
        <w:rPr>
          <w:rFonts w:hint="eastAsia" w:ascii="仿宋_GB2312" w:eastAsia="仿宋_GB2312" w:cs="DengXian-Regular"/>
          <w:kern w:val="2"/>
          <w:sz w:val="32"/>
          <w:szCs w:val="32"/>
          <w:lang w:val="en-US" w:eastAsia="zh-CN" w:bidi="ar-SA"/>
        </w:rPr>
        <w:t>2533.88</w:t>
      </w:r>
      <w:r>
        <w:rPr>
          <w:rFonts w:hint="eastAsia" w:ascii="仿宋_GB2312" w:hAnsi="Times New Roman" w:eastAsia="仿宋_GB2312" w:cs="DengXian-Regular"/>
          <w:kern w:val="2"/>
          <w:sz w:val="32"/>
          <w:szCs w:val="32"/>
          <w:lang w:val="en-US" w:eastAsia="zh-CN" w:bidi="ar-SA"/>
        </w:rPr>
        <w:t>万元。其中，对</w:t>
      </w:r>
      <w:r>
        <w:rPr>
          <w:rFonts w:hint="eastAsia" w:ascii="仿宋_GB2312" w:eastAsia="仿宋_GB2312" w:cs="DengXian-Regular"/>
          <w:kern w:val="2"/>
          <w:sz w:val="32"/>
          <w:szCs w:val="32"/>
          <w:lang w:val="en-US" w:eastAsia="zh-CN" w:bidi="ar-SA"/>
        </w:rPr>
        <w:t>“相公庄泵站”</w:t>
      </w:r>
      <w:r>
        <w:rPr>
          <w:rFonts w:hint="eastAsia" w:ascii="仿宋_GB2312" w:hAnsi="Times New Roman" w:eastAsia="仿宋_GB2312" w:cs="DengXian-Regular"/>
          <w:kern w:val="2"/>
          <w:sz w:val="32"/>
          <w:szCs w:val="32"/>
          <w:lang w:val="en-US" w:eastAsia="zh-CN" w:bidi="ar-SA"/>
        </w:rPr>
        <w:t>、</w:t>
      </w:r>
      <w:r>
        <w:rPr>
          <w:rFonts w:hint="eastAsia" w:ascii="仿宋_GB2312" w:eastAsia="仿宋_GB2312" w:cs="DengXian-Regular"/>
          <w:kern w:val="2"/>
          <w:sz w:val="32"/>
          <w:szCs w:val="32"/>
          <w:lang w:val="en-US" w:eastAsia="zh-CN" w:bidi="ar-SA"/>
        </w:rPr>
        <w:t>“曙光路</w:t>
      </w:r>
      <w:r>
        <w:rPr>
          <w:rFonts w:hint="eastAsia" w:ascii="仿宋_GB2312" w:hAnsi="Times New Roman" w:eastAsia="仿宋_GB2312" w:cs="DengXian-Regular"/>
          <w:kern w:val="2"/>
          <w:sz w:val="32"/>
          <w:szCs w:val="32"/>
          <w:lang w:val="en-US" w:eastAsia="zh-CN" w:bidi="ar-SA"/>
        </w:rPr>
        <w:t>新建工程”等项目分别委托部内评审机构开展绩效评价。从评价情况来看绩效自评结果对比倒查年初绩效目标设定明确了重点工作项目，设定了很好的指标，有清晰的考核标准，绩效目标设定清晰、绩效指标科学合理、易于评价。</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（二）、部门决算中项目绩效自评结果。</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为加强财政资金管理，提高财政资金的使用效益，遵循“科学规范、分类管理、绩效相关”的原则，运用科学、合理的技校评价方法，对本部门2019年度重点工作预算绩效情况进行客观、公正的评价。具体情况如下：</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1、根据国家、省的方针和产业政策，研究拟定全县工程建设、城市建设、村镇建设、建筑业、市政公用事业、勘察业、建设机械制造业以及环卫行业的有关政策及发展规划，并组织指导实施和进行行业管理。</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参与城市总体规划、城镇体系规划的制订和县管项目的选址定点工作；参与城镇土地使用权有偿出让工作；负责城市勘察和市政工程测量工作；负责城建档案的管理工作；负责建筑施工；图纸设计文件的监督、管理、审查工作。</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3、负责工程建设管理工作，监督工程建设程序的执行；管理监督工程建设、勘察、设计、审查、施工的招投标工作，综合管理工程监理工作，指导规范和综合管理全县建筑市场；负责建设单位建设管理机构的业务、技术管理和工程勘察设计、工程质量、施工安全、建筑安装、建筑装饰的行业管理；与有关部门协商拟定建设工期定额、工程造价、投资结算指标；组织协调建设企业参与域外或国际工程承包、建筑劳务合作。</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三、财政评价项目绩效评价结果</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“文安县农村气代煤”项目，为加强预算绩效管理，切实提高财政资金使用效益，进一步做好2019年绩效评价工作，我单位对气代煤项目进行了绩效评价，取得了良好的成绩。</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七、其他重要事项的说明</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（一）机关运行经费情况</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本部门2019年度机关运行经费支出230.66万元，比年初预算数增加48.82万元，增长21%。主要是气代煤经费增加。较2018年度决算减少21.37万元，降低9%，主要是减少日常运行经费。</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（二）政府采购情况</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本部门2019年度政府采购支出总额826.43万元，从采购类型来看，政府采购货物支出336.15万元、政府采购工程支出0万元、政府采购服务支出 490.28万元。授予中小企业合同金826.43万元，占政府采购支出总额的100%，其中授予小微企业合同金额0万元，占政府采购支出总额的 0%。</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（三）国有资产占用情况</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截至2019年12月31日，本部门共有车辆6辆，较上年度增加2辆，原因是机构合并。其中，副部（省）级及以上领导用车0辆，主要领导干部用车0辆，机要通信用车0辆，应急保障用车6辆，执法执勤用车0辆，特种专业技术用车0辆，离退休干部用车0辆，其他用车0辆，其他用车0辆；单位价值50万元以上通用设备0台（套），比上年增加0套，单位价值100万元以上专用设备0台（套）比上年增加0套。</w:t>
      </w:r>
    </w:p>
    <w:p>
      <w:pPr>
        <w:pStyle w:val="33"/>
        <w:numPr>
          <w:ilvl w:val="0"/>
          <w:numId w:val="0"/>
        </w:numPr>
        <w:adjustRightInd w:val="0"/>
        <w:snapToGrid w:val="0"/>
        <w:spacing w:after="0" w:line="240" w:lineRule="auto"/>
        <w:ind w:leftChars="0"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（四）其他需要说明的情况</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1、本部门2019年度国有资本经营无收支及结转结余情况，故国有自本经营预算财政拨款支出决算表以空表列示。</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2、由于决算公开表格中金额数值应当保留两位小数，公开数据为四舍五入计算结果，个别数据合计项与分项之和存在小数点后差额，特此说明。</w:t>
      </w:r>
    </w:p>
    <w:p>
      <w:pPr>
        <w:adjustRightInd w:val="0"/>
        <w:snapToGrid w:val="0"/>
        <w:spacing w:line="584" w:lineRule="exact"/>
        <w:ind w:firstLine="640" w:firstLineChars="200"/>
        <w:rPr>
          <w:rFonts w:hint="eastAsia" w:ascii="仿宋_GB2312" w:hAnsi="Times New Roman" w:eastAsia="仿宋_GB2312" w:cs="DengXian-Regular"/>
          <w:kern w:val="2"/>
          <w:sz w:val="32"/>
          <w:szCs w:val="32"/>
          <w:lang w:val="en-US" w:eastAsia="zh-CN" w:bidi="ar-SA"/>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r>
        <w:rPr>
          <w:rFonts w:hint="eastAsia" w:ascii="黑体" w:hAnsi="宋体" w:eastAsia="黑体"/>
          <w:color w:val="000000"/>
          <w:sz w:val="96"/>
          <w:szCs w:val="96"/>
        </w:rPr>
        <w:t>第四部分</w:t>
      </w:r>
    </w:p>
    <w:p>
      <w:pPr>
        <w:widowControl/>
        <w:spacing w:line="1200" w:lineRule="exact"/>
        <w:jc w:val="center"/>
        <w:rPr>
          <w:color w:val="000000"/>
          <w:sz w:val="96"/>
          <w:szCs w:val="96"/>
        </w:rPr>
      </w:pPr>
      <w:r>
        <w:rPr>
          <w:rFonts w:hint="eastAsia" w:ascii="黑体" w:hAnsi="宋体" w:eastAsia="黑体"/>
          <w:color w:val="000000"/>
          <w:sz w:val="96"/>
          <w:szCs w:val="96"/>
        </w:rPr>
        <w:t>名词解释</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32939C-B6AA-44AC-BA97-28864218D675}"/>
  </w:font>
  <w:font w:name="Arial">
    <w:panose1 w:val="020B0604020202020204"/>
    <w:charset w:val="01"/>
    <w:family w:val="swiss"/>
    <w:pitch w:val="default"/>
    <w:sig w:usb0="E0002AFF" w:usb1="C0007843" w:usb2="00000009" w:usb3="00000000" w:csb0="400001FF" w:csb1="FFFF0000"/>
    <w:embedRegular r:id="rId2" w:fontKey="{394AC7F6-D0BB-42C1-B3E1-B2107A0F76D6}"/>
  </w:font>
  <w:font w:name="黑体">
    <w:panose1 w:val="02010609060101010101"/>
    <w:charset w:val="86"/>
    <w:family w:val="auto"/>
    <w:pitch w:val="default"/>
    <w:sig w:usb0="800002BF" w:usb1="38CF7CFA" w:usb2="00000016" w:usb3="00000000" w:csb0="00040001" w:csb1="00000000"/>
    <w:embedRegular r:id="rId3" w:fontKey="{E4A51910-082E-49E2-8621-83F24423B712}"/>
  </w:font>
  <w:font w:name="Courier New">
    <w:panose1 w:val="02070309020205020404"/>
    <w:charset w:val="01"/>
    <w:family w:val="modern"/>
    <w:pitch w:val="default"/>
    <w:sig w:usb0="E0002AFF" w:usb1="C0007843" w:usb2="00000009" w:usb3="00000000" w:csb0="400001FF" w:csb1="FFFF0000"/>
    <w:embedRegular r:id="rId4" w:fontKey="{EC0A5812-7F97-47B4-9F21-47AC7D9EABF5}"/>
  </w:font>
  <w:font w:name="Symbol">
    <w:panose1 w:val="05050102010706020507"/>
    <w:charset w:val="02"/>
    <w:family w:val="roman"/>
    <w:pitch w:val="default"/>
    <w:sig w:usb0="00000000" w:usb1="00000000" w:usb2="00000000" w:usb3="00000000" w:csb0="80000000" w:csb1="00000000"/>
    <w:embedRegular r:id="rId5" w:fontKey="{EDDFB6F3-F133-47BD-8C59-B84B31131BD9}"/>
  </w:font>
  <w:font w:name="Calibri">
    <w:panose1 w:val="020F0502020204030204"/>
    <w:charset w:val="00"/>
    <w:family w:val="swiss"/>
    <w:pitch w:val="default"/>
    <w:sig w:usb0="E00002FF" w:usb1="4000ACFF" w:usb2="00000001" w:usb3="00000000" w:csb0="2000019F" w:csb1="00000000"/>
    <w:embedRegular r:id="rId6" w:fontKey="{193B007F-39E3-44D4-9D7C-56CAD422463F}"/>
  </w:font>
  <w:font w:name="Cambria">
    <w:panose1 w:val="02040503050406030204"/>
    <w:charset w:val="00"/>
    <w:family w:val="roman"/>
    <w:pitch w:val="default"/>
    <w:sig w:usb0="E00002FF" w:usb1="400004FF" w:usb2="00000000" w:usb3="00000000" w:csb0="2000019F" w:csb1="00000000"/>
    <w:embedRegular r:id="rId7" w:fontKey="{D24DFE64-D29F-4D7A-8DED-0060589A86A7}"/>
  </w:font>
  <w:font w:name="楷体">
    <w:panose1 w:val="02010609060101010101"/>
    <w:charset w:val="86"/>
    <w:family w:val="modern"/>
    <w:pitch w:val="default"/>
    <w:sig w:usb0="800002BF" w:usb1="38CF7CFA" w:usb2="00000016" w:usb3="00000000" w:csb0="00040001" w:csb1="00000000"/>
    <w:embedRegular r:id="rId8" w:fontKey="{66824D24-91B1-4BCA-9BEA-B5B7610F7373}"/>
  </w:font>
  <w:font w:name="仿宋_GB2312">
    <w:panose1 w:val="02010609030101010101"/>
    <w:charset w:val="86"/>
    <w:family w:val="modern"/>
    <w:pitch w:val="default"/>
    <w:sig w:usb0="00000000" w:usb1="00000000" w:usb2="00000000" w:usb3="00000000" w:csb0="00000000" w:csb1="00000000"/>
    <w:embedRegular r:id="rId9" w:fontKey="{52B50C80-9138-4D4C-ACBF-4521712FC04F}"/>
  </w:font>
  <w:font w:name="DengXian-Regular">
    <w:altName w:val="宋体"/>
    <w:panose1 w:val="00000000000000000000"/>
    <w:charset w:val="86"/>
    <w:family w:val="auto"/>
    <w:pitch w:val="default"/>
    <w:sig w:usb0="00000000" w:usb1="00000000" w:usb2="00000010" w:usb3="00000000" w:csb0="00040000" w:csb1="00000000"/>
    <w:embedRegular r:id="rId10" w:fontKey="{B12BF6F5-643F-4DFE-9215-121230A0B1D1}"/>
  </w:font>
  <w:font w:name="华文仿宋">
    <w:panose1 w:val="02010600040101010101"/>
    <w:charset w:val="86"/>
    <w:family w:val="auto"/>
    <w:pitch w:val="default"/>
    <w:sig w:usb0="00000000" w:usb1="00000000" w:usb2="00000000" w:usb3="00000000" w:csb0="00000000" w:csb1="00000000"/>
    <w:embedRegular r:id="rId11" w:fontKey="{FA075B1C-3514-4178-9C4F-CAECBEA3237C}"/>
  </w:font>
  <w:font w:name="ArialUnicodeMS">
    <w:altName w:val="Malgun Gothic"/>
    <w:panose1 w:val="00000000000000000000"/>
    <w:charset w:val="81"/>
    <w:family w:val="auto"/>
    <w:pitch w:val="default"/>
    <w:sig w:usb0="00000000" w:usb1="00000000" w:usb2="00000010" w:usb3="00000000" w:csb0="00080000" w:csb1="00000000"/>
    <w:embedRegular r:id="rId12" w:fontKey="{E94A0842-5DBA-4670-8128-379A160DEF09}"/>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2D36598C-CBA1-446A-883B-695D93394811}"/>
  </w:font>
  <w:font w:name="DengXian-Bold">
    <w:altName w:val="宋体"/>
    <w:panose1 w:val="00000000000000000000"/>
    <w:charset w:val="86"/>
    <w:family w:val="auto"/>
    <w:pitch w:val="default"/>
    <w:sig w:usb0="00000000" w:usb1="00000000" w:usb2="00000010" w:usb3="00000000" w:csb0="00040000" w:csb1="00000000"/>
    <w:embedRegular r:id="rId14" w:fontKey="{66E95EF3-FAA5-44F7-BE39-B0AFB52D87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F234F7"/>
    <w:multiLevelType w:val="multilevel"/>
    <w:tmpl w:val="3DF234F7"/>
    <w:lvl w:ilvl="0" w:tentative="0">
      <w:start w:val="1"/>
      <w:numFmt w:val="japaneseCounting"/>
      <w:lvlText w:val="（%1）"/>
      <w:lvlJc w:val="left"/>
      <w:pPr>
        <w:ind w:left="1721" w:hanging="1080"/>
      </w:pPr>
      <w:rPr>
        <w:rFonts w:hint="default" w:cs="Times New Roman"/>
      </w:rPr>
    </w:lvl>
    <w:lvl w:ilvl="1" w:tentative="0">
      <w:start w:val="1"/>
      <w:numFmt w:val="lowerLetter"/>
      <w:lvlText w:val="%2)"/>
      <w:lvlJc w:val="left"/>
      <w:pPr>
        <w:ind w:left="1481" w:hanging="420"/>
      </w:pPr>
      <w:rPr>
        <w:rFonts w:cs="Times New Roman"/>
      </w:rPr>
    </w:lvl>
    <w:lvl w:ilvl="2" w:tentative="0">
      <w:start w:val="1"/>
      <w:numFmt w:val="lowerRoman"/>
      <w:lvlText w:val="%3."/>
      <w:lvlJc w:val="right"/>
      <w:pPr>
        <w:ind w:left="1901" w:hanging="420"/>
      </w:pPr>
      <w:rPr>
        <w:rFonts w:cs="Times New Roman"/>
      </w:rPr>
    </w:lvl>
    <w:lvl w:ilvl="3" w:tentative="0">
      <w:start w:val="1"/>
      <w:numFmt w:val="decimal"/>
      <w:lvlText w:val="%4."/>
      <w:lvlJc w:val="left"/>
      <w:pPr>
        <w:ind w:left="2321" w:hanging="420"/>
      </w:pPr>
      <w:rPr>
        <w:rFonts w:cs="Times New Roman"/>
      </w:rPr>
    </w:lvl>
    <w:lvl w:ilvl="4" w:tentative="0">
      <w:start w:val="1"/>
      <w:numFmt w:val="lowerLetter"/>
      <w:lvlText w:val="%5)"/>
      <w:lvlJc w:val="left"/>
      <w:pPr>
        <w:ind w:left="2741" w:hanging="420"/>
      </w:pPr>
      <w:rPr>
        <w:rFonts w:cs="Times New Roman"/>
      </w:rPr>
    </w:lvl>
    <w:lvl w:ilvl="5" w:tentative="0">
      <w:start w:val="1"/>
      <w:numFmt w:val="lowerRoman"/>
      <w:lvlText w:val="%6."/>
      <w:lvlJc w:val="right"/>
      <w:pPr>
        <w:ind w:left="3161" w:hanging="420"/>
      </w:pPr>
      <w:rPr>
        <w:rFonts w:cs="Times New Roman"/>
      </w:rPr>
    </w:lvl>
    <w:lvl w:ilvl="6" w:tentative="0">
      <w:start w:val="1"/>
      <w:numFmt w:val="decimal"/>
      <w:lvlText w:val="%7."/>
      <w:lvlJc w:val="left"/>
      <w:pPr>
        <w:ind w:left="3581" w:hanging="420"/>
      </w:pPr>
      <w:rPr>
        <w:rFonts w:cs="Times New Roman"/>
      </w:rPr>
    </w:lvl>
    <w:lvl w:ilvl="7" w:tentative="0">
      <w:start w:val="1"/>
      <w:numFmt w:val="lowerLetter"/>
      <w:lvlText w:val="%8)"/>
      <w:lvlJc w:val="left"/>
      <w:pPr>
        <w:ind w:left="4001" w:hanging="420"/>
      </w:pPr>
      <w:rPr>
        <w:rFonts w:cs="Times New Roman"/>
      </w:rPr>
    </w:lvl>
    <w:lvl w:ilvl="8" w:tentative="0">
      <w:start w:val="1"/>
      <w:numFmt w:val="lowerRoman"/>
      <w:lvlText w:val="%9."/>
      <w:lvlJc w:val="right"/>
      <w:pPr>
        <w:ind w:left="4421" w:hanging="420"/>
      </w:pPr>
      <w:rPr>
        <w:rFonts w:cs="Times New Roman"/>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6C70501B"/>
    <w:multiLevelType w:val="multilevel"/>
    <w:tmpl w:val="6C70501B"/>
    <w:lvl w:ilvl="0" w:tentative="0">
      <w:start w:val="1"/>
      <w:numFmt w:val="japaneseCounting"/>
      <w:lvlText w:val="%1、"/>
      <w:lvlJc w:val="left"/>
      <w:pPr>
        <w:ind w:left="660" w:hanging="6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0FAF"/>
    <w:rsid w:val="00021E9C"/>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91AAA"/>
    <w:rsid w:val="00197DAB"/>
    <w:rsid w:val="001B3410"/>
    <w:rsid w:val="001B7503"/>
    <w:rsid w:val="001C030D"/>
    <w:rsid w:val="001C4A84"/>
    <w:rsid w:val="001E5902"/>
    <w:rsid w:val="00233705"/>
    <w:rsid w:val="00246D99"/>
    <w:rsid w:val="00257266"/>
    <w:rsid w:val="00262306"/>
    <w:rsid w:val="00275CA2"/>
    <w:rsid w:val="00290893"/>
    <w:rsid w:val="002A65A5"/>
    <w:rsid w:val="002C04C4"/>
    <w:rsid w:val="002D08B0"/>
    <w:rsid w:val="002D1AE3"/>
    <w:rsid w:val="002F2ECE"/>
    <w:rsid w:val="00341C8F"/>
    <w:rsid w:val="0035463A"/>
    <w:rsid w:val="00384CB0"/>
    <w:rsid w:val="00391D9D"/>
    <w:rsid w:val="003B6C51"/>
    <w:rsid w:val="003C1413"/>
    <w:rsid w:val="003C549F"/>
    <w:rsid w:val="003C780D"/>
    <w:rsid w:val="003D5A16"/>
    <w:rsid w:val="003E7DB3"/>
    <w:rsid w:val="003F7B8C"/>
    <w:rsid w:val="00431175"/>
    <w:rsid w:val="004351D2"/>
    <w:rsid w:val="004374A3"/>
    <w:rsid w:val="00493686"/>
    <w:rsid w:val="004B64F7"/>
    <w:rsid w:val="004B6E37"/>
    <w:rsid w:val="004C32BA"/>
    <w:rsid w:val="004C68EF"/>
    <w:rsid w:val="00575922"/>
    <w:rsid w:val="005A3C0D"/>
    <w:rsid w:val="005A6C90"/>
    <w:rsid w:val="005B37E6"/>
    <w:rsid w:val="005E3FB0"/>
    <w:rsid w:val="005F4B66"/>
    <w:rsid w:val="005F5208"/>
    <w:rsid w:val="00605C29"/>
    <w:rsid w:val="00615C31"/>
    <w:rsid w:val="00633EC0"/>
    <w:rsid w:val="00641318"/>
    <w:rsid w:val="0064405D"/>
    <w:rsid w:val="00676780"/>
    <w:rsid w:val="00695557"/>
    <w:rsid w:val="006A6D7F"/>
    <w:rsid w:val="006D4EA7"/>
    <w:rsid w:val="0070012A"/>
    <w:rsid w:val="0070664B"/>
    <w:rsid w:val="007071B8"/>
    <w:rsid w:val="007155C2"/>
    <w:rsid w:val="007414DE"/>
    <w:rsid w:val="00760C0C"/>
    <w:rsid w:val="007905A9"/>
    <w:rsid w:val="007A70D0"/>
    <w:rsid w:val="007E072B"/>
    <w:rsid w:val="007E5500"/>
    <w:rsid w:val="007F055B"/>
    <w:rsid w:val="00811C2F"/>
    <w:rsid w:val="00814DBF"/>
    <w:rsid w:val="00833D46"/>
    <w:rsid w:val="00836215"/>
    <w:rsid w:val="00840A97"/>
    <w:rsid w:val="00872B02"/>
    <w:rsid w:val="00873292"/>
    <w:rsid w:val="008A640A"/>
    <w:rsid w:val="008C0149"/>
    <w:rsid w:val="008D5DED"/>
    <w:rsid w:val="008E25CA"/>
    <w:rsid w:val="008F34FC"/>
    <w:rsid w:val="00944CD7"/>
    <w:rsid w:val="00961190"/>
    <w:rsid w:val="009831B2"/>
    <w:rsid w:val="009A1720"/>
    <w:rsid w:val="009A1ABE"/>
    <w:rsid w:val="009E21A4"/>
    <w:rsid w:val="009F22C6"/>
    <w:rsid w:val="00A07E50"/>
    <w:rsid w:val="00A12C15"/>
    <w:rsid w:val="00A15397"/>
    <w:rsid w:val="00A35CE0"/>
    <w:rsid w:val="00A4462E"/>
    <w:rsid w:val="00A44AA4"/>
    <w:rsid w:val="00A61623"/>
    <w:rsid w:val="00A84687"/>
    <w:rsid w:val="00A90133"/>
    <w:rsid w:val="00AA0458"/>
    <w:rsid w:val="00AB0A0E"/>
    <w:rsid w:val="00AB4150"/>
    <w:rsid w:val="00AD3B6E"/>
    <w:rsid w:val="00AF6D31"/>
    <w:rsid w:val="00B1751F"/>
    <w:rsid w:val="00B50F96"/>
    <w:rsid w:val="00B56722"/>
    <w:rsid w:val="00B67044"/>
    <w:rsid w:val="00B74D39"/>
    <w:rsid w:val="00B827C6"/>
    <w:rsid w:val="00B86066"/>
    <w:rsid w:val="00B91DA4"/>
    <w:rsid w:val="00B9301B"/>
    <w:rsid w:val="00BA7174"/>
    <w:rsid w:val="00C12630"/>
    <w:rsid w:val="00C34562"/>
    <w:rsid w:val="00C3774E"/>
    <w:rsid w:val="00C5322C"/>
    <w:rsid w:val="00C57456"/>
    <w:rsid w:val="00C65387"/>
    <w:rsid w:val="00C87FAB"/>
    <w:rsid w:val="00C91FF7"/>
    <w:rsid w:val="00C92D15"/>
    <w:rsid w:val="00C94E53"/>
    <w:rsid w:val="00C97905"/>
    <w:rsid w:val="00CA1F0F"/>
    <w:rsid w:val="00CE3FC3"/>
    <w:rsid w:val="00CE490E"/>
    <w:rsid w:val="00D0048E"/>
    <w:rsid w:val="00D023B6"/>
    <w:rsid w:val="00D23E7A"/>
    <w:rsid w:val="00D56D8F"/>
    <w:rsid w:val="00D61063"/>
    <w:rsid w:val="00D67D2B"/>
    <w:rsid w:val="00DB35AF"/>
    <w:rsid w:val="00DD72D7"/>
    <w:rsid w:val="00DF5B88"/>
    <w:rsid w:val="00E0589E"/>
    <w:rsid w:val="00E0697F"/>
    <w:rsid w:val="00E241FA"/>
    <w:rsid w:val="00E2595E"/>
    <w:rsid w:val="00E35374"/>
    <w:rsid w:val="00E50C19"/>
    <w:rsid w:val="00E53D9B"/>
    <w:rsid w:val="00E64655"/>
    <w:rsid w:val="00E73081"/>
    <w:rsid w:val="00E856C9"/>
    <w:rsid w:val="00EA4F68"/>
    <w:rsid w:val="00EB6A8B"/>
    <w:rsid w:val="00EC6814"/>
    <w:rsid w:val="00ED411D"/>
    <w:rsid w:val="00EE2750"/>
    <w:rsid w:val="00EF38C6"/>
    <w:rsid w:val="00F679C7"/>
    <w:rsid w:val="00F7711A"/>
    <w:rsid w:val="00F80C0E"/>
    <w:rsid w:val="00F80C72"/>
    <w:rsid w:val="00FA0D58"/>
    <w:rsid w:val="00FA1580"/>
    <w:rsid w:val="00FA3BA3"/>
    <w:rsid w:val="00FA56F4"/>
    <w:rsid w:val="00FB4EDA"/>
    <w:rsid w:val="00FD3BD5"/>
    <w:rsid w:val="00FE3DC8"/>
    <w:rsid w:val="023555F7"/>
    <w:rsid w:val="04073F84"/>
    <w:rsid w:val="070C666F"/>
    <w:rsid w:val="085968F5"/>
    <w:rsid w:val="0B60750A"/>
    <w:rsid w:val="0BF3151B"/>
    <w:rsid w:val="0FB30EE8"/>
    <w:rsid w:val="10686488"/>
    <w:rsid w:val="10DF728A"/>
    <w:rsid w:val="1264200E"/>
    <w:rsid w:val="141C5B77"/>
    <w:rsid w:val="17B54216"/>
    <w:rsid w:val="18D8339D"/>
    <w:rsid w:val="195A42AB"/>
    <w:rsid w:val="1A21388F"/>
    <w:rsid w:val="1A570D2F"/>
    <w:rsid w:val="1CF05EBC"/>
    <w:rsid w:val="1FE34269"/>
    <w:rsid w:val="21983295"/>
    <w:rsid w:val="22640163"/>
    <w:rsid w:val="23AC5C86"/>
    <w:rsid w:val="256A036B"/>
    <w:rsid w:val="27DA1C94"/>
    <w:rsid w:val="28FB0B8D"/>
    <w:rsid w:val="2D2B7942"/>
    <w:rsid w:val="2D411327"/>
    <w:rsid w:val="2D46481D"/>
    <w:rsid w:val="2E733B28"/>
    <w:rsid w:val="2EC832C3"/>
    <w:rsid w:val="2F3078C1"/>
    <w:rsid w:val="31852B5A"/>
    <w:rsid w:val="31E93084"/>
    <w:rsid w:val="32D01238"/>
    <w:rsid w:val="34073DB2"/>
    <w:rsid w:val="345565C9"/>
    <w:rsid w:val="34B544FF"/>
    <w:rsid w:val="3BFC13F7"/>
    <w:rsid w:val="3DFC59A8"/>
    <w:rsid w:val="3ECF245E"/>
    <w:rsid w:val="3F711B7A"/>
    <w:rsid w:val="3FB96314"/>
    <w:rsid w:val="40A601B2"/>
    <w:rsid w:val="4A167A2F"/>
    <w:rsid w:val="4C7974F3"/>
    <w:rsid w:val="51717702"/>
    <w:rsid w:val="51F03543"/>
    <w:rsid w:val="53A44FAF"/>
    <w:rsid w:val="542023B5"/>
    <w:rsid w:val="543B6294"/>
    <w:rsid w:val="55C8683C"/>
    <w:rsid w:val="58096E81"/>
    <w:rsid w:val="594329EC"/>
    <w:rsid w:val="5BB31D0B"/>
    <w:rsid w:val="5BEE1540"/>
    <w:rsid w:val="5DE61A5D"/>
    <w:rsid w:val="61E86AFC"/>
    <w:rsid w:val="62F67C54"/>
    <w:rsid w:val="63C04243"/>
    <w:rsid w:val="649C01C7"/>
    <w:rsid w:val="699A3F60"/>
    <w:rsid w:val="6A215A0A"/>
    <w:rsid w:val="6B4D418E"/>
    <w:rsid w:val="6B5C1F25"/>
    <w:rsid w:val="71C05E7B"/>
    <w:rsid w:val="72902E62"/>
    <w:rsid w:val="73C61104"/>
    <w:rsid w:val="76B6286E"/>
    <w:rsid w:val="776452EA"/>
    <w:rsid w:val="7DC663B9"/>
    <w:rsid w:val="7EFC684A"/>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20"/>
    <w:semiHidden/>
    <w:qFormat/>
    <w:uiPriority w:val="99"/>
    <w:pPr>
      <w:ind w:left="100" w:leftChars="2500"/>
    </w:pPr>
  </w:style>
  <w:style w:type="paragraph" w:styleId="7">
    <w:name w:val="Balloon Text"/>
    <w:basedOn w:val="1"/>
    <w:link w:val="21"/>
    <w:semiHidden/>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1">
    <w:name w:val="Normal (Web)"/>
    <w:basedOn w:val="1"/>
    <w:qFormat/>
    <w:uiPriority w:val="99"/>
    <w:pPr>
      <w:spacing w:before="100" w:beforeAutospacing="1" w:after="100" w:afterAutospacing="1" w:line="240" w:lineRule="auto"/>
      <w:jc w:val="left"/>
    </w:pPr>
    <w:rPr>
      <w:kern w:val="0"/>
      <w:sz w:val="24"/>
      <w:szCs w:val="20"/>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Times New Roman"/>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Times New Roman"/>
      <w:b/>
      <w:bCs/>
      <w:sz w:val="28"/>
      <w:szCs w:val="28"/>
    </w:rPr>
  </w:style>
  <w:style w:type="character" w:customStyle="1" w:styleId="20">
    <w:name w:val="Date Char"/>
    <w:basedOn w:val="15"/>
    <w:link w:val="6"/>
    <w:semiHidden/>
    <w:qFormat/>
    <w:locked/>
    <w:uiPriority w:val="99"/>
    <w:rPr>
      <w:rFonts w:ascii="Times New Roman" w:hAnsi="Times New Roman" w:eastAsia="宋体" w:cs="Times New Roman"/>
      <w:sz w:val="24"/>
      <w:szCs w:val="24"/>
    </w:rPr>
  </w:style>
  <w:style w:type="character" w:customStyle="1" w:styleId="21">
    <w:name w:val="Balloon Text Char"/>
    <w:basedOn w:val="15"/>
    <w:link w:val="7"/>
    <w:semiHidden/>
    <w:qFormat/>
    <w:locked/>
    <w:uiPriority w:val="99"/>
    <w:rPr>
      <w:rFonts w:ascii="Times New Roman" w:hAnsi="Times New Roman" w:eastAsia="宋体" w:cs="Times New Roman"/>
      <w:sz w:val="18"/>
      <w:szCs w:val="18"/>
    </w:rPr>
  </w:style>
  <w:style w:type="character" w:customStyle="1" w:styleId="22">
    <w:name w:val="Footer Char"/>
    <w:basedOn w:val="15"/>
    <w:link w:val="8"/>
    <w:qFormat/>
    <w:locked/>
    <w:uiPriority w:val="99"/>
    <w:rPr>
      <w:rFonts w:cs="Times New Roman"/>
      <w:sz w:val="18"/>
      <w:szCs w:val="18"/>
    </w:rPr>
  </w:style>
  <w:style w:type="character" w:customStyle="1" w:styleId="23">
    <w:name w:val="Header Char"/>
    <w:basedOn w:val="15"/>
    <w:link w:val="9"/>
    <w:qFormat/>
    <w:locked/>
    <w:uiPriority w:val="99"/>
    <w:rPr>
      <w:rFonts w:cs="Times New Roman"/>
      <w:sz w:val="18"/>
      <w:szCs w:val="18"/>
    </w:rPr>
  </w:style>
  <w:style w:type="character" w:customStyle="1" w:styleId="24">
    <w:name w:val="Subtitle Char"/>
    <w:basedOn w:val="15"/>
    <w:link w:val="10"/>
    <w:qFormat/>
    <w:locked/>
    <w:uiPriority w:val="99"/>
    <w:rPr>
      <w:rFonts w:ascii="Calibri" w:hAnsi="Calibri" w:eastAsia="宋体" w:cs="Times New Roman"/>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No Spacing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17</Pages>
  <Words>848</Words>
  <Characters>4835</Characters>
  <Lines>0</Lines>
  <Paragraphs>0</Paragraphs>
  <TotalTime>11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2019-10-16T05:57:00Z</dcterms:created>
  <dc:creator>User</dc:creator>
  <cp:lastModifiedBy>a...粉色</cp:lastModifiedBy>
  <cp:lastPrinted>2019-09-27T00:42:00Z</cp:lastPrinted>
  <dcterms:modified xsi:type="dcterms:W3CDTF">2021-06-07T03:54:22Z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4038999CBBC6435E9412F7E36BCF0C88</vt:lpwstr>
  </property>
</Properties>
</file>